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FDEF" w14:textId="77777777" w:rsidR="00861F1B" w:rsidRPr="005755E8" w:rsidRDefault="00861F1B" w:rsidP="00285523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5755E8">
        <w:rPr>
          <w:rFonts w:asciiTheme="minorHAnsi" w:hAnsiTheme="minorHAnsi" w:cstheme="minorHAnsi"/>
          <w:b/>
          <w:sz w:val="20"/>
          <w:szCs w:val="20"/>
        </w:rPr>
        <w:t>Informacja prasowa</w:t>
      </w:r>
    </w:p>
    <w:p w14:paraId="0FD4B65C" w14:textId="2E97DA9F" w:rsidR="00861F1B" w:rsidRPr="005755E8" w:rsidRDefault="00861F1B" w:rsidP="00285523">
      <w:pPr>
        <w:spacing w:before="100" w:beforeAutospacing="1" w:after="100" w:afterAutospacing="1"/>
        <w:contextualSpacing/>
        <w:jc w:val="right"/>
        <w:rPr>
          <w:rFonts w:asciiTheme="minorHAnsi" w:hAnsiTheme="minorHAnsi" w:cstheme="minorHAnsi"/>
          <w:b/>
          <w:sz w:val="20"/>
          <w:szCs w:val="20"/>
        </w:rPr>
      </w:pPr>
      <w:r w:rsidRPr="005755E8">
        <w:rPr>
          <w:rFonts w:asciiTheme="minorHAnsi" w:hAnsiTheme="minorHAnsi" w:cstheme="minorHAnsi"/>
          <w:b/>
          <w:sz w:val="20"/>
          <w:szCs w:val="20"/>
        </w:rPr>
        <w:t xml:space="preserve">Warszawa, </w:t>
      </w:r>
      <w:r w:rsidR="005755E8" w:rsidRPr="005755E8">
        <w:rPr>
          <w:rFonts w:asciiTheme="minorHAnsi" w:hAnsiTheme="minorHAnsi" w:cstheme="minorHAnsi"/>
          <w:b/>
          <w:sz w:val="20"/>
          <w:szCs w:val="20"/>
        </w:rPr>
        <w:t>31</w:t>
      </w:r>
      <w:r w:rsidRPr="005755E8">
        <w:rPr>
          <w:rFonts w:asciiTheme="minorHAnsi" w:hAnsiTheme="minorHAnsi" w:cstheme="minorHAnsi"/>
          <w:b/>
          <w:sz w:val="20"/>
          <w:szCs w:val="20"/>
        </w:rPr>
        <w:t>.0</w:t>
      </w:r>
      <w:r w:rsidR="0023490F" w:rsidRPr="005755E8">
        <w:rPr>
          <w:rFonts w:asciiTheme="minorHAnsi" w:hAnsiTheme="minorHAnsi" w:cstheme="minorHAnsi"/>
          <w:b/>
          <w:sz w:val="20"/>
          <w:szCs w:val="20"/>
        </w:rPr>
        <w:t>7</w:t>
      </w:r>
      <w:r w:rsidRPr="005755E8">
        <w:rPr>
          <w:rFonts w:asciiTheme="minorHAnsi" w:hAnsiTheme="minorHAnsi" w:cstheme="minorHAnsi"/>
          <w:b/>
          <w:sz w:val="20"/>
          <w:szCs w:val="20"/>
        </w:rPr>
        <w:t>.2023 r.</w:t>
      </w:r>
    </w:p>
    <w:p w14:paraId="6E64968D" w14:textId="77777777" w:rsidR="00861F1B" w:rsidRPr="005755E8" w:rsidRDefault="00861F1B" w:rsidP="00285523">
      <w:pPr>
        <w:spacing w:before="100" w:beforeAutospacing="1" w:after="100" w:afterAutospacing="1"/>
        <w:contextualSpacing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146562F" w14:textId="08AA4E41" w:rsidR="00BF3867" w:rsidRPr="005755E8" w:rsidRDefault="008457E7" w:rsidP="00285523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755E8">
        <w:rPr>
          <w:rFonts w:asciiTheme="minorHAnsi" w:hAnsiTheme="minorHAnsi" w:cstheme="minorHAnsi"/>
          <w:b/>
          <w:bCs/>
          <w:sz w:val="28"/>
          <w:szCs w:val="28"/>
        </w:rPr>
        <w:t>Mimo spowolnienia, faktoring w Polsce wciąż rośnie</w:t>
      </w:r>
    </w:p>
    <w:p w14:paraId="6BA1E865" w14:textId="77777777" w:rsidR="00511FA8" w:rsidRPr="005755E8" w:rsidRDefault="00511FA8" w:rsidP="00285523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14B426D" w14:textId="71CFC96E" w:rsidR="00511FA8" w:rsidRPr="005755E8" w:rsidRDefault="00511FA8" w:rsidP="00511FA8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755E8">
        <w:rPr>
          <w:rFonts w:asciiTheme="minorHAnsi" w:hAnsiTheme="minorHAnsi" w:cstheme="minorHAnsi"/>
          <w:b/>
          <w:bCs/>
          <w:sz w:val="24"/>
          <w:szCs w:val="24"/>
        </w:rPr>
        <w:t xml:space="preserve">Polscy faktorzy sfinansowali w pierwszym </w:t>
      </w:r>
      <w:r w:rsidR="0023490F" w:rsidRPr="005755E8">
        <w:rPr>
          <w:rFonts w:asciiTheme="minorHAnsi" w:hAnsiTheme="minorHAnsi" w:cstheme="minorHAnsi"/>
          <w:b/>
          <w:bCs/>
          <w:sz w:val="24"/>
          <w:szCs w:val="24"/>
        </w:rPr>
        <w:t>półroczu</w:t>
      </w:r>
      <w:r w:rsidRPr="005755E8">
        <w:rPr>
          <w:rFonts w:asciiTheme="minorHAnsi" w:hAnsiTheme="minorHAnsi" w:cstheme="minorHAnsi"/>
          <w:b/>
          <w:bCs/>
          <w:sz w:val="24"/>
          <w:szCs w:val="24"/>
        </w:rPr>
        <w:t xml:space="preserve"> 2023 roku bieżącą działalność krajowych firm w kwocie blisko </w:t>
      </w:r>
      <w:r w:rsidR="0023490F" w:rsidRPr="005755E8">
        <w:rPr>
          <w:rFonts w:asciiTheme="minorHAnsi" w:hAnsiTheme="minorHAnsi" w:cstheme="minorHAnsi"/>
          <w:b/>
          <w:bCs/>
          <w:sz w:val="24"/>
          <w:szCs w:val="24"/>
        </w:rPr>
        <w:t>225,7</w:t>
      </w:r>
      <w:r w:rsidRPr="005755E8">
        <w:rPr>
          <w:rFonts w:asciiTheme="minorHAnsi" w:hAnsiTheme="minorHAnsi" w:cstheme="minorHAnsi"/>
          <w:b/>
          <w:bCs/>
          <w:sz w:val="24"/>
          <w:szCs w:val="24"/>
        </w:rPr>
        <w:t xml:space="preserve"> mld zł – wynika z najnowszego badania Polskiego Związku Faktorów. Łączna wartość wykupionych wierzytelności w formie faktur wyniosła o </w:t>
      </w:r>
      <w:r w:rsidR="0023490F" w:rsidRPr="005755E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5755E8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23490F" w:rsidRPr="005755E8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5755E8">
        <w:rPr>
          <w:rFonts w:asciiTheme="minorHAnsi" w:hAnsiTheme="minorHAnsi" w:cstheme="minorHAnsi"/>
          <w:b/>
          <w:bCs/>
          <w:sz w:val="24"/>
          <w:szCs w:val="24"/>
        </w:rPr>
        <w:t xml:space="preserve">% więcej niż w pierwszym </w:t>
      </w:r>
      <w:r w:rsidR="0023490F" w:rsidRPr="005755E8">
        <w:rPr>
          <w:rFonts w:asciiTheme="minorHAnsi" w:hAnsiTheme="minorHAnsi" w:cstheme="minorHAnsi"/>
          <w:b/>
          <w:bCs/>
          <w:sz w:val="24"/>
          <w:szCs w:val="24"/>
        </w:rPr>
        <w:t>półroczu</w:t>
      </w:r>
      <w:r w:rsidRPr="005755E8">
        <w:rPr>
          <w:rFonts w:asciiTheme="minorHAnsi" w:hAnsiTheme="minorHAnsi" w:cstheme="minorHAnsi"/>
          <w:b/>
          <w:bCs/>
          <w:sz w:val="24"/>
          <w:szCs w:val="24"/>
        </w:rPr>
        <w:t xml:space="preserve"> ubiegłego roku. Faktury na gotówkę zamieniło </w:t>
      </w:r>
      <w:r w:rsidR="0023490F" w:rsidRPr="005755E8">
        <w:rPr>
          <w:rFonts w:asciiTheme="minorHAnsi" w:hAnsiTheme="minorHAnsi" w:cstheme="minorHAnsi"/>
          <w:b/>
          <w:bCs/>
          <w:sz w:val="24"/>
          <w:szCs w:val="24"/>
        </w:rPr>
        <w:t xml:space="preserve">ponad </w:t>
      </w:r>
      <w:r w:rsidRPr="005755E8">
        <w:rPr>
          <w:rFonts w:asciiTheme="minorHAnsi" w:hAnsiTheme="minorHAnsi" w:cstheme="minorHAnsi"/>
          <w:b/>
          <w:bCs/>
          <w:sz w:val="24"/>
          <w:szCs w:val="24"/>
        </w:rPr>
        <w:t xml:space="preserve">24 tys. firm, które w sumie przekazały do sfinansowania </w:t>
      </w:r>
      <w:r w:rsidR="0023490F" w:rsidRPr="005755E8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Pr="005755E8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23490F" w:rsidRPr="005755E8">
        <w:rPr>
          <w:rFonts w:asciiTheme="minorHAnsi" w:hAnsiTheme="minorHAnsi" w:cstheme="minorHAnsi"/>
          <w:b/>
          <w:bCs/>
          <w:sz w:val="24"/>
          <w:szCs w:val="24"/>
        </w:rPr>
        <w:t xml:space="preserve">7 </w:t>
      </w:r>
      <w:r w:rsidRPr="005755E8">
        <w:rPr>
          <w:rFonts w:asciiTheme="minorHAnsi" w:hAnsiTheme="minorHAnsi" w:cstheme="minorHAnsi"/>
          <w:b/>
          <w:bCs/>
          <w:sz w:val="24"/>
          <w:szCs w:val="24"/>
        </w:rPr>
        <w:t>mln dokumentów płatniczych.</w:t>
      </w:r>
    </w:p>
    <w:p w14:paraId="5B8D10D4" w14:textId="77777777" w:rsidR="00511FA8" w:rsidRPr="005755E8" w:rsidRDefault="00511FA8" w:rsidP="00511FA8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0024331" w14:textId="409A6DEA" w:rsidR="00DF7DE1" w:rsidRPr="005755E8" w:rsidRDefault="00BE6D57" w:rsidP="00511FA8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755E8">
        <w:rPr>
          <w:rFonts w:asciiTheme="minorHAnsi" w:hAnsiTheme="minorHAnsi" w:cstheme="minorHAnsi"/>
          <w:sz w:val="24"/>
          <w:szCs w:val="24"/>
        </w:rPr>
        <w:t>Faktoring nadal znajduje się na fali wznoszącej, mimo</w:t>
      </w:r>
      <w:r w:rsidR="005755E8" w:rsidRPr="005755E8">
        <w:rPr>
          <w:rFonts w:asciiTheme="minorHAnsi" w:hAnsiTheme="minorHAnsi" w:cstheme="minorHAnsi"/>
          <w:sz w:val="24"/>
          <w:szCs w:val="24"/>
        </w:rPr>
        <w:t xml:space="preserve"> </w:t>
      </w:r>
      <w:r w:rsidRPr="005755E8">
        <w:rPr>
          <w:rFonts w:asciiTheme="minorHAnsi" w:hAnsiTheme="minorHAnsi" w:cstheme="minorHAnsi"/>
          <w:sz w:val="24"/>
          <w:szCs w:val="24"/>
        </w:rPr>
        <w:t xml:space="preserve">spowolnienia. Wzrosty nie są już tak imponujące jak jeszcze kilka miesięcy temu. </w:t>
      </w:r>
      <w:r w:rsidR="005A6A5F" w:rsidRPr="005755E8">
        <w:rPr>
          <w:rFonts w:asciiTheme="minorHAnsi" w:hAnsiTheme="minorHAnsi" w:cstheme="minorHAnsi"/>
          <w:sz w:val="24"/>
          <w:szCs w:val="24"/>
        </w:rPr>
        <w:t xml:space="preserve">Natomiast BNP </w:t>
      </w:r>
      <w:proofErr w:type="spellStart"/>
      <w:r w:rsidR="005A6A5F" w:rsidRPr="005755E8">
        <w:rPr>
          <w:rFonts w:asciiTheme="minorHAnsi" w:hAnsiTheme="minorHAnsi" w:cstheme="minorHAnsi"/>
          <w:sz w:val="24"/>
          <w:szCs w:val="24"/>
        </w:rPr>
        <w:t>Paribas</w:t>
      </w:r>
      <w:proofErr w:type="spellEnd"/>
      <w:r w:rsidR="005A6A5F" w:rsidRPr="005755E8">
        <w:rPr>
          <w:rFonts w:asciiTheme="minorHAnsi" w:hAnsiTheme="minorHAnsi" w:cstheme="minorHAnsi"/>
          <w:sz w:val="24"/>
          <w:szCs w:val="24"/>
        </w:rPr>
        <w:t xml:space="preserve"> Faktoring nadal notuje bardzo wysoki wzrost obrotu</w:t>
      </w:r>
      <w:r w:rsidR="005755E8" w:rsidRPr="005755E8">
        <w:rPr>
          <w:rFonts w:asciiTheme="minorHAnsi" w:hAnsiTheme="minorHAnsi" w:cstheme="minorHAnsi"/>
          <w:sz w:val="24"/>
          <w:szCs w:val="24"/>
        </w:rPr>
        <w:t>,</w:t>
      </w:r>
      <w:r w:rsidR="005A6A5F" w:rsidRPr="005755E8">
        <w:rPr>
          <w:rFonts w:asciiTheme="minorHAnsi" w:hAnsiTheme="minorHAnsi" w:cstheme="minorHAnsi"/>
          <w:sz w:val="24"/>
          <w:szCs w:val="24"/>
        </w:rPr>
        <w:t xml:space="preserve"> przekraczający 30% w odniesieniu do pierwszej połowy 2022 r</w:t>
      </w:r>
      <w:r w:rsidR="005755E8" w:rsidRPr="005755E8">
        <w:rPr>
          <w:rFonts w:asciiTheme="minorHAnsi" w:hAnsiTheme="minorHAnsi" w:cstheme="minorHAnsi"/>
          <w:sz w:val="24"/>
          <w:szCs w:val="24"/>
        </w:rPr>
        <w:t>oku</w:t>
      </w:r>
      <w:r w:rsidR="005A6A5F" w:rsidRPr="005755E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B6C0855" w14:textId="77777777" w:rsidR="00DF7DE1" w:rsidRPr="005755E8" w:rsidRDefault="00DF7DE1" w:rsidP="00511FA8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49BA8DE" w14:textId="39482E3F" w:rsidR="00511FA8" w:rsidRPr="005755E8" w:rsidRDefault="00856C12" w:rsidP="00511FA8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755E8">
        <w:rPr>
          <w:rStyle w:val="Pogrubienie"/>
          <w:rFonts w:asciiTheme="minorHAnsi" w:hAnsiTheme="minorHAnsi" w:cstheme="minorHAnsi"/>
          <w:b w:val="0"/>
          <w:bCs w:val="0"/>
          <w:i/>
          <w:iCs/>
          <w:color w:val="30343F"/>
          <w:sz w:val="24"/>
          <w:szCs w:val="24"/>
          <w:bdr w:val="none" w:sz="0" w:space="0" w:color="auto" w:frame="1"/>
        </w:rPr>
        <w:t>Obroty krajowych firm faktoringowych nadal rosną, choć w I półroczu 2023 r</w:t>
      </w:r>
      <w:r w:rsidR="005755E8" w:rsidRPr="005755E8">
        <w:rPr>
          <w:rStyle w:val="Pogrubienie"/>
          <w:rFonts w:asciiTheme="minorHAnsi" w:hAnsiTheme="minorHAnsi" w:cstheme="minorHAnsi"/>
          <w:b w:val="0"/>
          <w:bCs w:val="0"/>
          <w:i/>
          <w:iCs/>
          <w:color w:val="30343F"/>
          <w:sz w:val="24"/>
          <w:szCs w:val="24"/>
          <w:bdr w:val="none" w:sz="0" w:space="0" w:color="auto" w:frame="1"/>
        </w:rPr>
        <w:t>oku</w:t>
      </w:r>
      <w:r w:rsidRPr="005755E8">
        <w:rPr>
          <w:rStyle w:val="Pogrubienie"/>
          <w:rFonts w:asciiTheme="minorHAnsi" w:hAnsiTheme="minorHAnsi" w:cstheme="minorHAnsi"/>
          <w:b w:val="0"/>
          <w:bCs w:val="0"/>
          <w:i/>
          <w:iCs/>
          <w:color w:val="30343F"/>
          <w:sz w:val="24"/>
          <w:szCs w:val="24"/>
          <w:bdr w:val="none" w:sz="0" w:space="0" w:color="auto" w:frame="1"/>
        </w:rPr>
        <w:t xml:space="preserve"> dynamika znacząco osłabła.</w:t>
      </w:r>
      <w:r w:rsidR="005A6A5F" w:rsidRPr="005755E8">
        <w:rPr>
          <w:rStyle w:val="Pogrubienie"/>
          <w:rFonts w:asciiTheme="minorHAnsi" w:hAnsiTheme="minorHAnsi" w:cstheme="minorHAnsi"/>
          <w:b w:val="0"/>
          <w:bCs w:val="0"/>
          <w:i/>
          <w:iCs/>
          <w:color w:val="30343F"/>
          <w:sz w:val="24"/>
          <w:szCs w:val="24"/>
          <w:bdr w:val="none" w:sz="0" w:space="0" w:color="auto" w:frame="1"/>
        </w:rPr>
        <w:t xml:space="preserve"> </w:t>
      </w:r>
      <w:r w:rsidRPr="005755E8">
        <w:rPr>
          <w:rStyle w:val="Pogrubienie"/>
          <w:rFonts w:asciiTheme="minorHAnsi" w:hAnsiTheme="minorHAnsi" w:cstheme="minorHAnsi"/>
          <w:b w:val="0"/>
          <w:bCs w:val="0"/>
          <w:i/>
          <w:iCs/>
          <w:color w:val="30343F"/>
          <w:sz w:val="24"/>
          <w:szCs w:val="24"/>
          <w:bdr w:val="none" w:sz="0" w:space="0" w:color="auto" w:frame="1"/>
        </w:rPr>
        <w:t xml:space="preserve">W roku ubiegłym bardzo dynamiczny wzrost rynku o 27% był spowodowany </w:t>
      </w:r>
      <w:r w:rsidR="005755E8" w:rsidRPr="005755E8">
        <w:rPr>
          <w:rStyle w:val="Pogrubienie"/>
          <w:rFonts w:asciiTheme="minorHAnsi" w:hAnsiTheme="minorHAnsi" w:cstheme="minorHAnsi"/>
          <w:b w:val="0"/>
          <w:bCs w:val="0"/>
          <w:i/>
          <w:iCs/>
          <w:color w:val="30343F"/>
          <w:sz w:val="24"/>
          <w:szCs w:val="24"/>
          <w:bdr w:val="none" w:sz="0" w:space="0" w:color="auto" w:frame="1"/>
        </w:rPr>
        <w:t>między innymi</w:t>
      </w:r>
      <w:r w:rsidRPr="005755E8">
        <w:rPr>
          <w:rStyle w:val="Pogrubienie"/>
          <w:rFonts w:asciiTheme="minorHAnsi" w:hAnsiTheme="minorHAnsi" w:cstheme="minorHAnsi"/>
          <w:b w:val="0"/>
          <w:bCs w:val="0"/>
          <w:i/>
          <w:iCs/>
          <w:color w:val="30343F"/>
          <w:sz w:val="24"/>
          <w:szCs w:val="24"/>
          <w:bdr w:val="none" w:sz="0" w:space="0" w:color="auto" w:frame="1"/>
        </w:rPr>
        <w:t xml:space="preserve"> szybko rosnącą inflacją</w:t>
      </w:r>
      <w:r w:rsidR="005755E8" w:rsidRPr="005755E8">
        <w:rPr>
          <w:rStyle w:val="Pogrubienie"/>
          <w:rFonts w:asciiTheme="minorHAnsi" w:hAnsiTheme="minorHAnsi" w:cstheme="minorHAnsi"/>
          <w:b w:val="0"/>
          <w:bCs w:val="0"/>
          <w:i/>
          <w:iCs/>
          <w:color w:val="30343F"/>
          <w:sz w:val="24"/>
          <w:szCs w:val="24"/>
          <w:bdr w:val="none" w:sz="0" w:space="0" w:color="auto" w:frame="1"/>
        </w:rPr>
        <w:t>,</w:t>
      </w:r>
      <w:r w:rsidRPr="005755E8">
        <w:rPr>
          <w:rStyle w:val="Pogrubienie"/>
          <w:rFonts w:asciiTheme="minorHAnsi" w:hAnsiTheme="minorHAnsi" w:cstheme="minorHAnsi"/>
          <w:b w:val="0"/>
          <w:bCs w:val="0"/>
          <w:i/>
          <w:iCs/>
          <w:color w:val="30343F"/>
          <w:sz w:val="24"/>
          <w:szCs w:val="24"/>
          <w:bdr w:val="none" w:sz="0" w:space="0" w:color="auto" w:frame="1"/>
        </w:rPr>
        <w:t xml:space="preserve"> co przekładało się na rosnącą wartość wystawianych faktur za ten sam towar. W tym roku nasi klienci odczuwają drugi, długoterminowy wpływ inflacji. Wyższe ceny sprzedaży ograniczyły popyt</w:t>
      </w:r>
      <w:r w:rsidR="005755E8" w:rsidRPr="005755E8">
        <w:rPr>
          <w:rStyle w:val="Pogrubienie"/>
          <w:rFonts w:asciiTheme="minorHAnsi" w:hAnsiTheme="minorHAnsi" w:cstheme="minorHAnsi"/>
          <w:b w:val="0"/>
          <w:bCs w:val="0"/>
          <w:i/>
          <w:iCs/>
          <w:color w:val="30343F"/>
          <w:sz w:val="24"/>
          <w:szCs w:val="24"/>
          <w:bdr w:val="none" w:sz="0" w:space="0" w:color="auto" w:frame="1"/>
        </w:rPr>
        <w:t>,</w:t>
      </w:r>
      <w:r w:rsidRPr="005755E8">
        <w:rPr>
          <w:rStyle w:val="Pogrubienie"/>
          <w:rFonts w:asciiTheme="minorHAnsi" w:hAnsiTheme="minorHAnsi" w:cstheme="minorHAnsi"/>
          <w:b w:val="0"/>
          <w:bCs w:val="0"/>
          <w:i/>
          <w:iCs/>
          <w:color w:val="30343F"/>
          <w:sz w:val="24"/>
          <w:szCs w:val="24"/>
          <w:bdr w:val="none" w:sz="0" w:space="0" w:color="auto" w:frame="1"/>
        </w:rPr>
        <w:t xml:space="preserve"> co powoduje, że firmy wstrzymują inwestycj</w:t>
      </w:r>
      <w:r w:rsidR="005755E8" w:rsidRPr="005755E8">
        <w:rPr>
          <w:rStyle w:val="Pogrubienie"/>
          <w:rFonts w:asciiTheme="minorHAnsi" w:hAnsiTheme="minorHAnsi" w:cstheme="minorHAnsi"/>
          <w:b w:val="0"/>
          <w:bCs w:val="0"/>
          <w:i/>
          <w:iCs/>
          <w:color w:val="30343F"/>
          <w:sz w:val="24"/>
          <w:szCs w:val="24"/>
          <w:bdr w:val="none" w:sz="0" w:space="0" w:color="auto" w:frame="1"/>
        </w:rPr>
        <w:t>e,</w:t>
      </w:r>
      <w:r w:rsidRPr="005755E8">
        <w:rPr>
          <w:rStyle w:val="Pogrubienie"/>
          <w:rFonts w:asciiTheme="minorHAnsi" w:hAnsiTheme="minorHAnsi" w:cstheme="minorHAnsi"/>
          <w:b w:val="0"/>
          <w:bCs w:val="0"/>
          <w:i/>
          <w:iCs/>
          <w:color w:val="30343F"/>
          <w:sz w:val="24"/>
          <w:szCs w:val="24"/>
          <w:bdr w:val="none" w:sz="0" w:space="0" w:color="auto" w:frame="1"/>
        </w:rPr>
        <w:t xml:space="preserve"> nie będąc pewnymi przyszłego popytu</w:t>
      </w:r>
      <w:r w:rsidR="005755E8" w:rsidRPr="005755E8">
        <w:rPr>
          <w:rStyle w:val="Pogrubienie"/>
          <w:rFonts w:asciiTheme="minorHAnsi" w:hAnsiTheme="minorHAnsi" w:cstheme="minorHAnsi"/>
          <w:b w:val="0"/>
          <w:bCs w:val="0"/>
          <w:i/>
          <w:iCs/>
          <w:color w:val="30343F"/>
          <w:sz w:val="24"/>
          <w:szCs w:val="24"/>
          <w:bdr w:val="none" w:sz="0" w:space="0" w:color="auto" w:frame="1"/>
        </w:rPr>
        <w:t>, a</w:t>
      </w:r>
      <w:r w:rsidRPr="005755E8">
        <w:rPr>
          <w:rStyle w:val="Pogrubienie"/>
          <w:rFonts w:asciiTheme="minorHAnsi" w:hAnsiTheme="minorHAnsi" w:cstheme="minorHAnsi"/>
          <w:b w:val="0"/>
          <w:bCs w:val="0"/>
          <w:i/>
          <w:iCs/>
          <w:color w:val="30343F"/>
          <w:sz w:val="24"/>
          <w:szCs w:val="24"/>
          <w:bdr w:val="none" w:sz="0" w:space="0" w:color="auto" w:frame="1"/>
        </w:rPr>
        <w:t xml:space="preserve"> mniejsza sprzedaż to niższy popyt na bieżące finansowanie</w:t>
      </w:r>
      <w:r w:rsidR="005755E8" w:rsidRPr="005755E8">
        <w:rPr>
          <w:rStyle w:val="Pogrubienie"/>
          <w:rFonts w:asciiTheme="minorHAnsi" w:hAnsiTheme="minorHAnsi" w:cstheme="minorHAnsi"/>
          <w:b w:val="0"/>
          <w:bCs w:val="0"/>
          <w:i/>
          <w:iCs/>
          <w:color w:val="30343F"/>
          <w:sz w:val="24"/>
          <w:szCs w:val="24"/>
          <w:bdr w:val="none" w:sz="0" w:space="0" w:color="auto" w:frame="1"/>
        </w:rPr>
        <w:t>,</w:t>
      </w:r>
      <w:r w:rsidRPr="005755E8">
        <w:rPr>
          <w:rStyle w:val="Pogrubienie"/>
          <w:rFonts w:asciiTheme="minorHAnsi" w:hAnsiTheme="minorHAnsi" w:cstheme="minorHAnsi"/>
          <w:b w:val="0"/>
          <w:bCs w:val="0"/>
          <w:i/>
          <w:iCs/>
          <w:color w:val="30343F"/>
          <w:sz w:val="24"/>
          <w:szCs w:val="24"/>
          <w:bdr w:val="none" w:sz="0" w:space="0" w:color="auto" w:frame="1"/>
        </w:rPr>
        <w:t xml:space="preserve"> które zapewnia faktoring. Natomiast niepewne czas</w:t>
      </w:r>
      <w:r w:rsidR="005755E8" w:rsidRPr="005755E8">
        <w:rPr>
          <w:rStyle w:val="Pogrubienie"/>
          <w:rFonts w:asciiTheme="minorHAnsi" w:hAnsiTheme="minorHAnsi" w:cstheme="minorHAnsi"/>
          <w:b w:val="0"/>
          <w:bCs w:val="0"/>
          <w:i/>
          <w:iCs/>
          <w:color w:val="30343F"/>
          <w:sz w:val="24"/>
          <w:szCs w:val="24"/>
          <w:bdr w:val="none" w:sz="0" w:space="0" w:color="auto" w:frame="1"/>
        </w:rPr>
        <w:t>y</w:t>
      </w:r>
      <w:r w:rsidRPr="005755E8">
        <w:rPr>
          <w:rStyle w:val="Pogrubienie"/>
          <w:rFonts w:asciiTheme="minorHAnsi" w:hAnsiTheme="minorHAnsi" w:cstheme="minorHAnsi"/>
          <w:b w:val="0"/>
          <w:bCs w:val="0"/>
          <w:i/>
          <w:iCs/>
          <w:color w:val="30343F"/>
          <w:sz w:val="24"/>
          <w:szCs w:val="24"/>
          <w:bdr w:val="none" w:sz="0" w:space="0" w:color="auto" w:frame="1"/>
        </w:rPr>
        <w:t xml:space="preserve"> premiują drugą zaletę faktoringu</w:t>
      </w:r>
      <w:r w:rsidR="005755E8" w:rsidRPr="005755E8">
        <w:rPr>
          <w:rStyle w:val="Pogrubienie"/>
          <w:rFonts w:asciiTheme="minorHAnsi" w:hAnsiTheme="minorHAnsi" w:cstheme="minorHAnsi"/>
          <w:b w:val="0"/>
          <w:bCs w:val="0"/>
          <w:i/>
          <w:iCs/>
          <w:color w:val="30343F"/>
          <w:sz w:val="24"/>
          <w:szCs w:val="24"/>
          <w:bdr w:val="none" w:sz="0" w:space="0" w:color="auto" w:frame="1"/>
        </w:rPr>
        <w:t>,</w:t>
      </w:r>
      <w:r w:rsidRPr="005755E8">
        <w:rPr>
          <w:rStyle w:val="Pogrubienie"/>
          <w:rFonts w:asciiTheme="minorHAnsi" w:hAnsiTheme="minorHAnsi" w:cstheme="minorHAnsi"/>
          <w:b w:val="0"/>
          <w:bCs w:val="0"/>
          <w:i/>
          <w:iCs/>
          <w:color w:val="30343F"/>
          <w:sz w:val="24"/>
          <w:szCs w:val="24"/>
          <w:bdr w:val="none" w:sz="0" w:space="0" w:color="auto" w:frame="1"/>
        </w:rPr>
        <w:t xml:space="preserve"> czyli przejęcie ryzyka braku zapłaty za fakturę przez firmę faktoringową. Kiedy mamy spowolnienie gospodarcze</w:t>
      </w:r>
      <w:r w:rsidR="005755E8" w:rsidRPr="005755E8">
        <w:rPr>
          <w:rStyle w:val="Pogrubienie"/>
          <w:rFonts w:asciiTheme="minorHAnsi" w:hAnsiTheme="minorHAnsi" w:cstheme="minorHAnsi"/>
          <w:b w:val="0"/>
          <w:bCs w:val="0"/>
          <w:i/>
          <w:iCs/>
          <w:color w:val="30343F"/>
          <w:sz w:val="24"/>
          <w:szCs w:val="24"/>
          <w:bdr w:val="none" w:sz="0" w:space="0" w:color="auto" w:frame="1"/>
        </w:rPr>
        <w:t>,</w:t>
      </w:r>
      <w:r w:rsidRPr="005755E8">
        <w:rPr>
          <w:rStyle w:val="Pogrubienie"/>
          <w:rFonts w:asciiTheme="minorHAnsi" w:hAnsiTheme="minorHAnsi" w:cstheme="minorHAnsi"/>
          <w:b w:val="0"/>
          <w:bCs w:val="0"/>
          <w:i/>
          <w:iCs/>
          <w:color w:val="30343F"/>
          <w:sz w:val="24"/>
          <w:szCs w:val="24"/>
          <w:bdr w:val="none" w:sz="0" w:space="0" w:color="auto" w:frame="1"/>
        </w:rPr>
        <w:t xml:space="preserve"> siłą rzeczy więcej firm ma problem ze spłatą swoich zobowiązań handlowych. Dlatego widzimy wyraźny wzrost zainteresowania faktoringiem pełnym</w:t>
      </w:r>
      <w:r w:rsidR="005755E8" w:rsidRPr="005755E8">
        <w:rPr>
          <w:rStyle w:val="Pogrubienie"/>
          <w:rFonts w:asciiTheme="minorHAnsi" w:hAnsiTheme="minorHAnsi" w:cstheme="minorHAnsi"/>
          <w:b w:val="0"/>
          <w:bCs w:val="0"/>
          <w:i/>
          <w:iCs/>
          <w:color w:val="30343F"/>
          <w:sz w:val="24"/>
          <w:szCs w:val="24"/>
          <w:bdr w:val="none" w:sz="0" w:space="0" w:color="auto" w:frame="1"/>
        </w:rPr>
        <w:t>,</w:t>
      </w:r>
      <w:r w:rsidRPr="005755E8">
        <w:rPr>
          <w:rStyle w:val="Pogrubienie"/>
          <w:rFonts w:asciiTheme="minorHAnsi" w:hAnsiTheme="minorHAnsi" w:cstheme="minorHAnsi"/>
          <w:b w:val="0"/>
          <w:bCs w:val="0"/>
          <w:i/>
          <w:iCs/>
          <w:color w:val="30343F"/>
          <w:sz w:val="24"/>
          <w:szCs w:val="24"/>
          <w:bdr w:val="none" w:sz="0" w:space="0" w:color="auto" w:frame="1"/>
        </w:rPr>
        <w:t xml:space="preserve"> w ramach którego firma faktoringowa bierze na siebie ryzyko ewentualnego braku zapłaty za fakturę</w:t>
      </w:r>
      <w:r w:rsidRPr="005755E8">
        <w:rPr>
          <w:rStyle w:val="Pogrubienie"/>
          <w:rFonts w:asciiTheme="minorHAnsi" w:hAnsiTheme="minorHAnsi" w:cstheme="minorHAnsi"/>
          <w:i/>
          <w:iCs/>
          <w:color w:val="30343F"/>
          <w:sz w:val="24"/>
          <w:szCs w:val="24"/>
          <w:bdr w:val="none" w:sz="0" w:space="0" w:color="auto" w:frame="1"/>
        </w:rPr>
        <w:t> </w:t>
      </w:r>
      <w:r w:rsidR="00BE6D57" w:rsidRPr="005755E8">
        <w:rPr>
          <w:rFonts w:asciiTheme="minorHAnsi" w:hAnsiTheme="minorHAnsi" w:cstheme="minorHAnsi"/>
          <w:i/>
          <w:iCs/>
          <w:sz w:val="24"/>
          <w:szCs w:val="24"/>
        </w:rPr>
        <w:t xml:space="preserve">– </w:t>
      </w:r>
      <w:r w:rsidR="00BE6D57" w:rsidRPr="005755E8">
        <w:rPr>
          <w:rFonts w:asciiTheme="minorHAnsi" w:hAnsiTheme="minorHAnsi" w:cstheme="minorHAnsi"/>
          <w:sz w:val="24"/>
          <w:szCs w:val="24"/>
        </w:rPr>
        <w:t xml:space="preserve">mówi </w:t>
      </w:r>
      <w:r w:rsidR="004C63E5" w:rsidRPr="005755E8">
        <w:rPr>
          <w:rFonts w:asciiTheme="minorHAnsi" w:hAnsiTheme="minorHAnsi" w:cstheme="minorHAnsi"/>
          <w:b/>
          <w:bCs/>
          <w:sz w:val="24"/>
          <w:szCs w:val="24"/>
        </w:rPr>
        <w:t>Paweł Kacprzak, członek zarządu</w:t>
      </w:r>
      <w:r w:rsidR="00BE6D57" w:rsidRPr="005755E8">
        <w:rPr>
          <w:rFonts w:asciiTheme="minorHAnsi" w:hAnsiTheme="minorHAnsi" w:cstheme="minorHAnsi"/>
          <w:b/>
          <w:bCs/>
          <w:sz w:val="24"/>
          <w:szCs w:val="24"/>
        </w:rPr>
        <w:t xml:space="preserve"> BNP </w:t>
      </w:r>
      <w:proofErr w:type="spellStart"/>
      <w:r w:rsidR="00BE6D57" w:rsidRPr="005755E8">
        <w:rPr>
          <w:rFonts w:asciiTheme="minorHAnsi" w:hAnsiTheme="minorHAnsi" w:cstheme="minorHAnsi"/>
          <w:b/>
          <w:bCs/>
          <w:sz w:val="24"/>
          <w:szCs w:val="24"/>
        </w:rPr>
        <w:t>Paribas</w:t>
      </w:r>
      <w:proofErr w:type="spellEnd"/>
      <w:r w:rsidR="00BE6D57" w:rsidRPr="005755E8">
        <w:rPr>
          <w:rFonts w:asciiTheme="minorHAnsi" w:hAnsiTheme="minorHAnsi" w:cstheme="minorHAnsi"/>
          <w:b/>
          <w:bCs/>
          <w:sz w:val="24"/>
          <w:szCs w:val="24"/>
        </w:rPr>
        <w:t xml:space="preserve"> Faktoring.</w:t>
      </w:r>
    </w:p>
    <w:p w14:paraId="6E51E505" w14:textId="561AB6EC" w:rsidR="00BE6D57" w:rsidRPr="005755E8" w:rsidRDefault="00BE6D57" w:rsidP="00511FA8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8F59E0B" w14:textId="274B7A75" w:rsidR="00BE6D57" w:rsidRPr="005755E8" w:rsidRDefault="005A6A5F" w:rsidP="00511FA8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755E8">
        <w:rPr>
          <w:rFonts w:asciiTheme="minorHAnsi" w:hAnsiTheme="minorHAnsi" w:cstheme="minorHAnsi"/>
          <w:sz w:val="24"/>
          <w:szCs w:val="24"/>
        </w:rPr>
        <w:t>Warto aktualnie interesować się również eksportem na rynki U</w:t>
      </w:r>
      <w:r w:rsidR="005755E8" w:rsidRPr="005755E8">
        <w:rPr>
          <w:rFonts w:asciiTheme="minorHAnsi" w:hAnsiTheme="minorHAnsi" w:cstheme="minorHAnsi"/>
          <w:sz w:val="24"/>
          <w:szCs w:val="24"/>
        </w:rPr>
        <w:t>nii Europejskiej</w:t>
      </w:r>
      <w:r w:rsidRPr="005755E8">
        <w:rPr>
          <w:rFonts w:asciiTheme="minorHAnsi" w:hAnsiTheme="minorHAnsi" w:cstheme="minorHAnsi"/>
          <w:sz w:val="24"/>
          <w:szCs w:val="24"/>
        </w:rPr>
        <w:t>. Duża różnica w stopach procentowanych między EUR i PLN powoduje, że koszt</w:t>
      </w:r>
      <w:r w:rsidR="005755E8" w:rsidRPr="005755E8">
        <w:rPr>
          <w:rFonts w:asciiTheme="minorHAnsi" w:hAnsiTheme="minorHAnsi" w:cstheme="minorHAnsi"/>
          <w:sz w:val="24"/>
          <w:szCs w:val="24"/>
        </w:rPr>
        <w:t>y</w:t>
      </w:r>
      <w:r w:rsidRPr="005755E8">
        <w:rPr>
          <w:rFonts w:asciiTheme="minorHAnsi" w:hAnsiTheme="minorHAnsi" w:cstheme="minorHAnsi"/>
          <w:sz w:val="24"/>
          <w:szCs w:val="24"/>
        </w:rPr>
        <w:t xml:space="preserve"> faktoringu w EUR są ponad dwukrotni</w:t>
      </w:r>
      <w:r w:rsidR="005755E8" w:rsidRPr="005755E8">
        <w:rPr>
          <w:rFonts w:asciiTheme="minorHAnsi" w:hAnsiTheme="minorHAnsi" w:cstheme="minorHAnsi"/>
          <w:sz w:val="24"/>
          <w:szCs w:val="24"/>
        </w:rPr>
        <w:t>e</w:t>
      </w:r>
      <w:r w:rsidRPr="005755E8">
        <w:rPr>
          <w:rFonts w:asciiTheme="minorHAnsi" w:hAnsiTheme="minorHAnsi" w:cstheme="minorHAnsi"/>
          <w:sz w:val="24"/>
          <w:szCs w:val="24"/>
        </w:rPr>
        <w:t xml:space="preserve"> niższe niż w PLN.</w:t>
      </w:r>
      <w:r w:rsidR="005755E8" w:rsidRPr="005755E8">
        <w:rPr>
          <w:rFonts w:asciiTheme="minorHAnsi" w:hAnsiTheme="minorHAnsi" w:cstheme="minorHAnsi"/>
          <w:sz w:val="24"/>
          <w:szCs w:val="24"/>
        </w:rPr>
        <w:t xml:space="preserve"> </w:t>
      </w:r>
      <w:r w:rsidR="00BE6D57" w:rsidRPr="005755E8">
        <w:rPr>
          <w:rFonts w:asciiTheme="minorHAnsi" w:hAnsiTheme="minorHAnsi" w:cstheme="minorHAnsi"/>
          <w:sz w:val="24"/>
          <w:szCs w:val="24"/>
        </w:rPr>
        <w:t xml:space="preserve">Usługi faktoringowe są </w:t>
      </w:r>
      <w:r w:rsidRPr="005755E8">
        <w:rPr>
          <w:rFonts w:asciiTheme="minorHAnsi" w:hAnsiTheme="minorHAnsi" w:cstheme="minorHAnsi"/>
          <w:sz w:val="24"/>
          <w:szCs w:val="24"/>
        </w:rPr>
        <w:t>głównie wykorzystywane przez</w:t>
      </w:r>
      <w:r w:rsidR="00BE6D57" w:rsidRPr="005755E8">
        <w:rPr>
          <w:rFonts w:asciiTheme="minorHAnsi" w:hAnsiTheme="minorHAnsi" w:cstheme="minorHAnsi"/>
          <w:sz w:val="24"/>
          <w:szCs w:val="24"/>
        </w:rPr>
        <w:t xml:space="preserve"> przedsiębiorstwa działające w sektorach </w:t>
      </w:r>
      <w:r w:rsidR="00DF7DE1" w:rsidRPr="005755E8">
        <w:rPr>
          <w:rFonts w:asciiTheme="minorHAnsi" w:hAnsiTheme="minorHAnsi" w:cstheme="minorHAnsi"/>
          <w:sz w:val="24"/>
          <w:szCs w:val="24"/>
        </w:rPr>
        <w:t>dystrybucji</w:t>
      </w:r>
      <w:r w:rsidR="00BE6D57" w:rsidRPr="005755E8">
        <w:rPr>
          <w:rFonts w:asciiTheme="minorHAnsi" w:hAnsiTheme="minorHAnsi" w:cstheme="minorHAnsi"/>
          <w:sz w:val="24"/>
          <w:szCs w:val="24"/>
        </w:rPr>
        <w:t xml:space="preserve"> oraz </w:t>
      </w:r>
      <w:r w:rsidR="00DF7DE1" w:rsidRPr="005755E8">
        <w:rPr>
          <w:rFonts w:asciiTheme="minorHAnsi" w:hAnsiTheme="minorHAnsi" w:cstheme="minorHAnsi"/>
          <w:sz w:val="24"/>
          <w:szCs w:val="24"/>
        </w:rPr>
        <w:t>produkcji</w:t>
      </w:r>
      <w:r w:rsidR="00BE6D57" w:rsidRPr="005755E8">
        <w:rPr>
          <w:rFonts w:asciiTheme="minorHAnsi" w:hAnsiTheme="minorHAnsi" w:cstheme="minorHAnsi"/>
          <w:sz w:val="24"/>
          <w:szCs w:val="24"/>
        </w:rPr>
        <w:t xml:space="preserve">. Funkcjonują one w warunkach zmiennej koniunktury, dlatego potrzebują większej puli środków finansowych na potrzeby bieżącej działalności. </w:t>
      </w:r>
    </w:p>
    <w:p w14:paraId="7AB21562" w14:textId="77777777" w:rsidR="00BE6D57" w:rsidRPr="005755E8" w:rsidRDefault="00BE6D57" w:rsidP="00511FA8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FD44F56" w14:textId="1523CBCB" w:rsidR="00285523" w:rsidRPr="005755E8" w:rsidRDefault="002A3F41" w:rsidP="00DF7DE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755E8">
        <w:rPr>
          <w:rFonts w:asciiTheme="minorHAnsi" w:hAnsiTheme="minorHAnsi" w:cstheme="minorHAnsi"/>
          <w:sz w:val="24"/>
          <w:szCs w:val="24"/>
        </w:rPr>
        <w:t>Faktoring daje przedsiębiorcom łatwy dostęp do gotówki, jednocześnie zapobiegając zatorom płatniczym. Pozwala w cyklu bieżącym regulować kluczowe zobowiązania, jak między innymi obowiązki podatkowe, wypłat</w:t>
      </w:r>
      <w:r w:rsidR="005755E8" w:rsidRPr="005755E8">
        <w:rPr>
          <w:rFonts w:asciiTheme="minorHAnsi" w:hAnsiTheme="minorHAnsi" w:cstheme="minorHAnsi"/>
          <w:sz w:val="24"/>
          <w:szCs w:val="24"/>
        </w:rPr>
        <w:t>ę</w:t>
      </w:r>
      <w:r w:rsidRPr="005755E8">
        <w:rPr>
          <w:rFonts w:asciiTheme="minorHAnsi" w:hAnsiTheme="minorHAnsi" w:cstheme="minorHAnsi"/>
          <w:sz w:val="24"/>
          <w:szCs w:val="24"/>
        </w:rPr>
        <w:t xml:space="preserve"> wynagrodzeń czy zapłat</w:t>
      </w:r>
      <w:r w:rsidR="005755E8" w:rsidRPr="005755E8">
        <w:rPr>
          <w:rFonts w:asciiTheme="minorHAnsi" w:hAnsiTheme="minorHAnsi" w:cstheme="minorHAnsi"/>
          <w:sz w:val="24"/>
          <w:szCs w:val="24"/>
        </w:rPr>
        <w:t>ę</w:t>
      </w:r>
      <w:r w:rsidRPr="005755E8">
        <w:rPr>
          <w:rFonts w:asciiTheme="minorHAnsi" w:hAnsiTheme="minorHAnsi" w:cstheme="minorHAnsi"/>
          <w:sz w:val="24"/>
          <w:szCs w:val="24"/>
        </w:rPr>
        <w:t xml:space="preserve"> podwykonawcom, tym bardziej że </w:t>
      </w:r>
      <w:r w:rsidRPr="005755E8">
        <w:rPr>
          <w:rFonts w:asciiTheme="minorHAnsi" w:hAnsiTheme="minorHAnsi" w:cstheme="minorHAnsi"/>
          <w:sz w:val="24"/>
          <w:szCs w:val="24"/>
        </w:rPr>
        <w:lastRenderedPageBreak/>
        <w:t>dla wielu dostawców wydłużone terminy płatności są realną przyczyną zachwiania finansowej płynności.</w:t>
      </w:r>
      <w:r w:rsidR="00DF7DE1" w:rsidRPr="005755E8">
        <w:rPr>
          <w:rFonts w:asciiTheme="minorHAnsi" w:hAnsiTheme="minorHAnsi" w:cstheme="minorHAnsi"/>
          <w:sz w:val="24"/>
          <w:szCs w:val="24"/>
        </w:rPr>
        <w:t xml:space="preserve"> </w:t>
      </w:r>
      <w:r w:rsidRPr="005755E8">
        <w:rPr>
          <w:rFonts w:asciiTheme="minorHAnsi" w:hAnsiTheme="minorHAnsi" w:cstheme="minorHAnsi"/>
          <w:sz w:val="24"/>
          <w:szCs w:val="24"/>
        </w:rPr>
        <w:t>W odróżnieniu od innych sposobów finansowania, faktorzy nie oczekują od firm przedstawienia twardych zabezpieczeń. Finansowanie jest udzielane w oparciu o wystawione przez przedsiębiorców faktury.</w:t>
      </w:r>
    </w:p>
    <w:p w14:paraId="5378B08E" w14:textId="77777777" w:rsidR="00DF7DE1" w:rsidRPr="005755E8" w:rsidRDefault="00DF7DE1" w:rsidP="00DF7DE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9C016DC" w14:textId="77777777" w:rsidR="007C430C" w:rsidRPr="005755E8" w:rsidRDefault="007C430C" w:rsidP="00285523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</w:rPr>
      </w:pPr>
      <w:r w:rsidRPr="005755E8">
        <w:rPr>
          <w:rFonts w:asciiTheme="minorHAnsi" w:hAnsiTheme="minorHAnsi" w:cstheme="minorHAnsi"/>
        </w:rPr>
        <w:t>***</w:t>
      </w:r>
    </w:p>
    <w:p w14:paraId="7939A69F" w14:textId="77777777" w:rsidR="007C430C" w:rsidRPr="005755E8" w:rsidRDefault="007C430C" w:rsidP="00285523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</w:rPr>
      </w:pPr>
      <w:r w:rsidRPr="005755E8">
        <w:rPr>
          <w:rFonts w:asciiTheme="minorHAnsi" w:hAnsiTheme="minorHAnsi" w:cstheme="minorHAnsi"/>
          <w:b/>
          <w:sz w:val="20"/>
        </w:rPr>
        <w:t xml:space="preserve">BNP </w:t>
      </w:r>
      <w:proofErr w:type="spellStart"/>
      <w:r w:rsidRPr="005755E8">
        <w:rPr>
          <w:rFonts w:asciiTheme="minorHAnsi" w:hAnsiTheme="minorHAnsi" w:cstheme="minorHAnsi"/>
          <w:b/>
          <w:sz w:val="20"/>
        </w:rPr>
        <w:t>Paribas</w:t>
      </w:r>
      <w:proofErr w:type="spellEnd"/>
      <w:r w:rsidRPr="005755E8">
        <w:rPr>
          <w:rFonts w:asciiTheme="minorHAnsi" w:hAnsiTheme="minorHAnsi" w:cstheme="minorHAnsi"/>
          <w:b/>
          <w:sz w:val="20"/>
        </w:rPr>
        <w:t xml:space="preserve"> Faktoring Sp. z o.o.</w:t>
      </w:r>
      <w:r w:rsidRPr="005755E8">
        <w:rPr>
          <w:rFonts w:asciiTheme="minorHAnsi" w:hAnsiTheme="minorHAnsi" w:cstheme="minorHAnsi"/>
          <w:sz w:val="20"/>
        </w:rPr>
        <w:t xml:space="preserve"> jest spółką faktoringową, należącą do Grupy BNP </w:t>
      </w:r>
      <w:proofErr w:type="spellStart"/>
      <w:r w:rsidRPr="005755E8">
        <w:rPr>
          <w:rFonts w:asciiTheme="minorHAnsi" w:hAnsiTheme="minorHAnsi" w:cstheme="minorHAnsi"/>
          <w:sz w:val="20"/>
        </w:rPr>
        <w:t>Paribas</w:t>
      </w:r>
      <w:proofErr w:type="spellEnd"/>
      <w:r w:rsidRPr="005755E8">
        <w:rPr>
          <w:rFonts w:asciiTheme="minorHAnsi" w:hAnsiTheme="minorHAnsi" w:cstheme="minorHAnsi"/>
          <w:sz w:val="20"/>
        </w:rPr>
        <w:t xml:space="preserve"> Factoring, lidera na międzynarodowym rynku faktoringu</w:t>
      </w:r>
      <w:r w:rsidR="00BF7B67" w:rsidRPr="005755E8">
        <w:rPr>
          <w:rFonts w:asciiTheme="minorHAnsi" w:hAnsiTheme="minorHAnsi" w:cstheme="minorHAnsi"/>
          <w:sz w:val="20"/>
        </w:rPr>
        <w:t xml:space="preserve"> z</w:t>
      </w:r>
      <w:r w:rsidRPr="005755E8">
        <w:rPr>
          <w:rFonts w:asciiTheme="minorHAnsi" w:hAnsiTheme="minorHAnsi" w:cstheme="minorHAnsi"/>
          <w:sz w:val="20"/>
        </w:rPr>
        <w:t xml:space="preserve"> 50-letnim doświadczeniem oraz siecią spółek funkcjonujących w 17 krajach Europy, Azji i Afryki.</w:t>
      </w:r>
    </w:p>
    <w:p w14:paraId="33BA2483" w14:textId="77777777" w:rsidR="007C430C" w:rsidRPr="005755E8" w:rsidRDefault="007C430C" w:rsidP="00285523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0"/>
        </w:rPr>
      </w:pPr>
    </w:p>
    <w:p w14:paraId="07178E15" w14:textId="77777777" w:rsidR="007C430C" w:rsidRPr="005755E8" w:rsidRDefault="007C430C" w:rsidP="00285523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0"/>
        </w:rPr>
      </w:pPr>
      <w:r w:rsidRPr="005755E8">
        <w:rPr>
          <w:rFonts w:asciiTheme="minorHAnsi" w:hAnsiTheme="minorHAnsi" w:cstheme="minorHAnsi"/>
          <w:sz w:val="20"/>
        </w:rPr>
        <w:t xml:space="preserve">BNP </w:t>
      </w:r>
      <w:proofErr w:type="spellStart"/>
      <w:r w:rsidRPr="005755E8">
        <w:rPr>
          <w:rFonts w:asciiTheme="minorHAnsi" w:hAnsiTheme="minorHAnsi" w:cstheme="minorHAnsi"/>
          <w:sz w:val="20"/>
        </w:rPr>
        <w:t>Paribas</w:t>
      </w:r>
      <w:proofErr w:type="spellEnd"/>
      <w:r w:rsidRPr="005755E8">
        <w:rPr>
          <w:rFonts w:asciiTheme="minorHAnsi" w:hAnsiTheme="minorHAnsi" w:cstheme="minorHAnsi"/>
          <w:sz w:val="20"/>
        </w:rPr>
        <w:t xml:space="preserve"> Faktoring w Polsce działa od 2006 roku i jest jedną z najszybciej rozwijających się firm faktoringowych na rynku, zajmując czołowe miejsca w rankingach firm faktoringowych, publikowanych przez Polski Związek Faktorów. Swoją ofertę kieruje do małych, średnich i dużych przedsiębiorstw produkcyjnych, handlowych, usługowych oraz rolno-spożywczych, prowadzących sprzedaż z odroczonym terminem płatności. Korzystając z doświadczeń światowej grupy, spółka oferuje rozwiązania również dla międzynarodowych grup kapitałowych, których celem jest jednolite podejście do faktoringu we wszystkich podmiotach. Oferta spółki dostępna jest także w oddziałach BNP </w:t>
      </w:r>
      <w:proofErr w:type="spellStart"/>
      <w:r w:rsidRPr="005755E8">
        <w:rPr>
          <w:rFonts w:asciiTheme="minorHAnsi" w:hAnsiTheme="minorHAnsi" w:cstheme="minorHAnsi"/>
          <w:sz w:val="20"/>
        </w:rPr>
        <w:t>Paribas</w:t>
      </w:r>
      <w:proofErr w:type="spellEnd"/>
      <w:r w:rsidRPr="005755E8">
        <w:rPr>
          <w:rFonts w:asciiTheme="minorHAnsi" w:hAnsiTheme="minorHAnsi" w:cstheme="minorHAnsi"/>
          <w:sz w:val="20"/>
        </w:rPr>
        <w:t xml:space="preserve"> Bank Polska S.A. na terenie całego kraju.</w:t>
      </w:r>
      <w:r w:rsidR="00051D9D" w:rsidRPr="005755E8">
        <w:rPr>
          <w:rFonts w:asciiTheme="minorHAnsi" w:hAnsiTheme="minorHAnsi" w:cstheme="minorHAnsi"/>
          <w:sz w:val="20"/>
        </w:rPr>
        <w:t xml:space="preserve"> </w:t>
      </w:r>
    </w:p>
    <w:p w14:paraId="2DB282F6" w14:textId="77777777" w:rsidR="00DE0E30" w:rsidRPr="005755E8" w:rsidRDefault="00DE0E30" w:rsidP="00285523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0"/>
        </w:rPr>
      </w:pPr>
    </w:p>
    <w:p w14:paraId="3456EE36" w14:textId="77777777" w:rsidR="00DE0E30" w:rsidRPr="005755E8" w:rsidRDefault="00DE0E30" w:rsidP="00285523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0"/>
        </w:rPr>
      </w:pPr>
      <w:r w:rsidRPr="005755E8">
        <w:rPr>
          <w:rFonts w:asciiTheme="minorHAnsi" w:hAnsiTheme="minorHAnsi" w:cstheme="minorHAnsi"/>
          <w:sz w:val="20"/>
        </w:rPr>
        <w:t xml:space="preserve">Spółka jest członkiem światowych i polskich organizacji, zrzeszających firmy faktoringowe, m.in. </w:t>
      </w:r>
      <w:r w:rsidRPr="005755E8">
        <w:rPr>
          <w:rFonts w:asciiTheme="minorHAnsi" w:hAnsiTheme="minorHAnsi" w:cstheme="minorHAnsi"/>
          <w:b/>
          <w:sz w:val="20"/>
        </w:rPr>
        <w:t>Polskiego Związku Faktorów i FCI (</w:t>
      </w:r>
      <w:proofErr w:type="spellStart"/>
      <w:r w:rsidRPr="005755E8">
        <w:rPr>
          <w:rFonts w:asciiTheme="minorHAnsi" w:hAnsiTheme="minorHAnsi" w:cstheme="minorHAnsi"/>
          <w:b/>
          <w:sz w:val="20"/>
        </w:rPr>
        <w:t>Facilitating</w:t>
      </w:r>
      <w:proofErr w:type="spellEnd"/>
      <w:r w:rsidRPr="005755E8">
        <w:rPr>
          <w:rFonts w:asciiTheme="minorHAnsi" w:hAnsiTheme="minorHAnsi" w:cstheme="minorHAnsi"/>
          <w:b/>
          <w:sz w:val="20"/>
        </w:rPr>
        <w:t xml:space="preserve"> Open </w:t>
      </w:r>
      <w:proofErr w:type="spellStart"/>
      <w:r w:rsidRPr="005755E8">
        <w:rPr>
          <w:rFonts w:asciiTheme="minorHAnsi" w:hAnsiTheme="minorHAnsi" w:cstheme="minorHAnsi"/>
          <w:b/>
          <w:sz w:val="20"/>
        </w:rPr>
        <w:t>Account</w:t>
      </w:r>
      <w:proofErr w:type="spellEnd"/>
      <w:r w:rsidRPr="005755E8">
        <w:rPr>
          <w:rFonts w:asciiTheme="minorHAnsi" w:hAnsiTheme="minorHAnsi" w:cstheme="minorHAnsi"/>
          <w:b/>
          <w:sz w:val="20"/>
        </w:rPr>
        <w:t xml:space="preserve"> – </w:t>
      </w:r>
      <w:proofErr w:type="spellStart"/>
      <w:r w:rsidRPr="005755E8">
        <w:rPr>
          <w:rFonts w:asciiTheme="minorHAnsi" w:hAnsiTheme="minorHAnsi" w:cstheme="minorHAnsi"/>
          <w:b/>
          <w:sz w:val="20"/>
        </w:rPr>
        <w:t>Receivables</w:t>
      </w:r>
      <w:proofErr w:type="spellEnd"/>
      <w:r w:rsidRPr="005755E8">
        <w:rPr>
          <w:rFonts w:asciiTheme="minorHAnsi" w:hAnsiTheme="minorHAnsi" w:cstheme="minorHAnsi"/>
          <w:b/>
          <w:sz w:val="20"/>
        </w:rPr>
        <w:t xml:space="preserve"> Finance).</w:t>
      </w:r>
      <w:r w:rsidR="00051D9D" w:rsidRPr="005755E8">
        <w:rPr>
          <w:rFonts w:asciiTheme="minorHAnsi" w:hAnsiTheme="minorHAnsi" w:cstheme="minorHAnsi"/>
          <w:b/>
          <w:sz w:val="20"/>
        </w:rPr>
        <w:t xml:space="preserve"> </w:t>
      </w:r>
    </w:p>
    <w:p w14:paraId="05FD551A" w14:textId="77777777" w:rsidR="007C430C" w:rsidRPr="005755E8" w:rsidRDefault="007C430C" w:rsidP="00285523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0"/>
        </w:rPr>
      </w:pPr>
    </w:p>
    <w:p w14:paraId="62B684DC" w14:textId="77777777" w:rsidR="007C430C" w:rsidRPr="005755E8" w:rsidRDefault="007C430C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755E8">
        <w:rPr>
          <w:rFonts w:asciiTheme="minorHAnsi" w:hAnsiTheme="minorHAnsi" w:cstheme="minorHAnsi"/>
          <w:b/>
          <w:color w:val="000000"/>
          <w:sz w:val="20"/>
          <w:szCs w:val="20"/>
        </w:rPr>
        <w:t>Więcej informacji:</w:t>
      </w:r>
    </w:p>
    <w:p w14:paraId="0F13D187" w14:textId="77777777" w:rsidR="007C430C" w:rsidRPr="005755E8" w:rsidRDefault="00000000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hyperlink r:id="rId6" w:history="1">
        <w:r w:rsidR="007C430C" w:rsidRPr="005755E8">
          <w:rPr>
            <w:rStyle w:val="Hipercze"/>
            <w:rFonts w:asciiTheme="minorHAnsi" w:hAnsiTheme="minorHAnsi" w:cstheme="minorHAnsi"/>
            <w:b/>
            <w:sz w:val="20"/>
            <w:szCs w:val="20"/>
          </w:rPr>
          <w:t>www.faktoring.bnpparibas.pl</w:t>
        </w:r>
      </w:hyperlink>
      <w:r w:rsidR="007C430C" w:rsidRPr="005755E8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659E736" w14:textId="77777777" w:rsidR="007C430C" w:rsidRPr="005755E8" w:rsidRDefault="007C430C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207BAD0" w14:textId="77777777" w:rsidR="007C430C" w:rsidRPr="005755E8" w:rsidRDefault="007C430C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755E8">
        <w:rPr>
          <w:rFonts w:asciiTheme="minorHAnsi" w:hAnsiTheme="minorHAnsi" w:cstheme="minorHAnsi"/>
          <w:b/>
          <w:color w:val="000000"/>
          <w:sz w:val="20"/>
          <w:szCs w:val="20"/>
        </w:rPr>
        <w:t>Kontakt dla mediów:</w:t>
      </w:r>
    </w:p>
    <w:p w14:paraId="3D96A03E" w14:textId="77777777" w:rsidR="007C430C" w:rsidRPr="005755E8" w:rsidRDefault="007C430C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755E8">
        <w:rPr>
          <w:rFonts w:asciiTheme="minorHAnsi" w:hAnsiTheme="minorHAnsi" w:cstheme="minorHAnsi"/>
          <w:color w:val="000000"/>
          <w:sz w:val="20"/>
          <w:szCs w:val="20"/>
        </w:rPr>
        <w:t>Bartosz Sosnówka</w:t>
      </w:r>
    </w:p>
    <w:p w14:paraId="568E4CD4" w14:textId="77777777" w:rsidR="007C430C" w:rsidRPr="005755E8" w:rsidRDefault="007C430C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755E8">
        <w:rPr>
          <w:rFonts w:asciiTheme="minorHAnsi" w:hAnsiTheme="minorHAnsi" w:cstheme="minorHAnsi"/>
          <w:color w:val="000000"/>
          <w:sz w:val="20"/>
          <w:szCs w:val="20"/>
        </w:rPr>
        <w:t xml:space="preserve">E: </w:t>
      </w:r>
      <w:hyperlink r:id="rId7">
        <w:r w:rsidRPr="005755E8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bartosz.sosnowka@dwapiar.pl</w:t>
        </w:r>
      </w:hyperlink>
    </w:p>
    <w:p w14:paraId="2C2646D8" w14:textId="77777777" w:rsidR="007C430C" w:rsidRPr="005755E8" w:rsidRDefault="007C430C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755E8">
        <w:rPr>
          <w:rFonts w:asciiTheme="minorHAnsi" w:hAnsiTheme="minorHAnsi" w:cstheme="minorHAnsi"/>
          <w:color w:val="000000"/>
          <w:sz w:val="20"/>
          <w:szCs w:val="20"/>
        </w:rPr>
        <w:t>M: 517 476 361</w:t>
      </w:r>
    </w:p>
    <w:sectPr w:rsidR="007C430C" w:rsidRPr="005755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64E09" w14:textId="77777777" w:rsidR="0032474A" w:rsidRDefault="0032474A" w:rsidP="007C430C">
      <w:pPr>
        <w:spacing w:after="0" w:line="240" w:lineRule="auto"/>
      </w:pPr>
      <w:r>
        <w:separator/>
      </w:r>
    </w:p>
  </w:endnote>
  <w:endnote w:type="continuationSeparator" w:id="0">
    <w:p w14:paraId="3A569941" w14:textId="77777777" w:rsidR="0032474A" w:rsidRDefault="0032474A" w:rsidP="007C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2AA8" w14:textId="77777777" w:rsidR="0032474A" w:rsidRDefault="0032474A" w:rsidP="007C430C">
      <w:pPr>
        <w:spacing w:after="0" w:line="240" w:lineRule="auto"/>
      </w:pPr>
      <w:r>
        <w:separator/>
      </w:r>
    </w:p>
  </w:footnote>
  <w:footnote w:type="continuationSeparator" w:id="0">
    <w:p w14:paraId="370218EF" w14:textId="77777777" w:rsidR="0032474A" w:rsidRDefault="0032474A" w:rsidP="007C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8E8C" w14:textId="77777777" w:rsidR="007C430C" w:rsidRDefault="001D716F" w:rsidP="007C430C">
    <w:pPr>
      <w:pStyle w:val="Nagwek"/>
      <w:jc w:val="center"/>
    </w:pPr>
    <w:r w:rsidRPr="00B4370B">
      <w:rPr>
        <w:noProof/>
        <w:lang w:eastAsia="pl-PL"/>
      </w:rPr>
      <w:drawing>
        <wp:inline distT="0" distB="0" distL="0" distR="0" wp14:anchorId="680EEA29" wp14:editId="1F3A0BE6">
          <wp:extent cx="3611880" cy="101346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188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0C"/>
    <w:rsid w:val="00051D9D"/>
    <w:rsid w:val="0005686E"/>
    <w:rsid w:val="00060453"/>
    <w:rsid w:val="00062187"/>
    <w:rsid w:val="000B3BB9"/>
    <w:rsid w:val="000E0E4F"/>
    <w:rsid w:val="0010191C"/>
    <w:rsid w:val="001021FC"/>
    <w:rsid w:val="00124090"/>
    <w:rsid w:val="00144540"/>
    <w:rsid w:val="00157CAF"/>
    <w:rsid w:val="00161687"/>
    <w:rsid w:val="001662C7"/>
    <w:rsid w:val="0018583B"/>
    <w:rsid w:val="001D5A11"/>
    <w:rsid w:val="001D6E61"/>
    <w:rsid w:val="001D716F"/>
    <w:rsid w:val="001E26C3"/>
    <w:rsid w:val="002070FE"/>
    <w:rsid w:val="00216D49"/>
    <w:rsid w:val="0022109C"/>
    <w:rsid w:val="00222A28"/>
    <w:rsid w:val="002231DA"/>
    <w:rsid w:val="00232AE6"/>
    <w:rsid w:val="0023490F"/>
    <w:rsid w:val="00285523"/>
    <w:rsid w:val="002923D2"/>
    <w:rsid w:val="002938B1"/>
    <w:rsid w:val="002A3F41"/>
    <w:rsid w:val="002B02AD"/>
    <w:rsid w:val="002B10F8"/>
    <w:rsid w:val="002D231B"/>
    <w:rsid w:val="00315304"/>
    <w:rsid w:val="003201AB"/>
    <w:rsid w:val="0032474A"/>
    <w:rsid w:val="00327202"/>
    <w:rsid w:val="00346382"/>
    <w:rsid w:val="003469BC"/>
    <w:rsid w:val="00352BEF"/>
    <w:rsid w:val="00377188"/>
    <w:rsid w:val="003C101F"/>
    <w:rsid w:val="003D667F"/>
    <w:rsid w:val="003E4E68"/>
    <w:rsid w:val="00432FAD"/>
    <w:rsid w:val="00440995"/>
    <w:rsid w:val="004C63E5"/>
    <w:rsid w:val="004E4F10"/>
    <w:rsid w:val="004F6904"/>
    <w:rsid w:val="00511FA8"/>
    <w:rsid w:val="00512E82"/>
    <w:rsid w:val="00534301"/>
    <w:rsid w:val="00560E4B"/>
    <w:rsid w:val="005618DA"/>
    <w:rsid w:val="005755E8"/>
    <w:rsid w:val="005A6A5F"/>
    <w:rsid w:val="005E48E2"/>
    <w:rsid w:val="005F50C8"/>
    <w:rsid w:val="00634120"/>
    <w:rsid w:val="0066613A"/>
    <w:rsid w:val="0069585A"/>
    <w:rsid w:val="006C491D"/>
    <w:rsid w:val="006D0730"/>
    <w:rsid w:val="00700A11"/>
    <w:rsid w:val="00730A60"/>
    <w:rsid w:val="007405E4"/>
    <w:rsid w:val="00764C2E"/>
    <w:rsid w:val="00772BEE"/>
    <w:rsid w:val="0078721D"/>
    <w:rsid w:val="007A5718"/>
    <w:rsid w:val="007A7ECA"/>
    <w:rsid w:val="007C430C"/>
    <w:rsid w:val="007D7189"/>
    <w:rsid w:val="007E1739"/>
    <w:rsid w:val="0081421D"/>
    <w:rsid w:val="008457E7"/>
    <w:rsid w:val="00856C12"/>
    <w:rsid w:val="00861F1B"/>
    <w:rsid w:val="008D1F29"/>
    <w:rsid w:val="0090387E"/>
    <w:rsid w:val="00915A30"/>
    <w:rsid w:val="00915E7E"/>
    <w:rsid w:val="00946C7B"/>
    <w:rsid w:val="00993314"/>
    <w:rsid w:val="009B1B51"/>
    <w:rsid w:val="00A07567"/>
    <w:rsid w:val="00A15E5D"/>
    <w:rsid w:val="00A7174B"/>
    <w:rsid w:val="00A87C9D"/>
    <w:rsid w:val="00AF60B7"/>
    <w:rsid w:val="00B12F51"/>
    <w:rsid w:val="00B43AB5"/>
    <w:rsid w:val="00B5577E"/>
    <w:rsid w:val="00B62536"/>
    <w:rsid w:val="00BC4CCD"/>
    <w:rsid w:val="00BE6D57"/>
    <w:rsid w:val="00BF3867"/>
    <w:rsid w:val="00BF6AD9"/>
    <w:rsid w:val="00BF7B67"/>
    <w:rsid w:val="00C56CCC"/>
    <w:rsid w:val="00C82978"/>
    <w:rsid w:val="00C82989"/>
    <w:rsid w:val="00CE7194"/>
    <w:rsid w:val="00D016B7"/>
    <w:rsid w:val="00D77924"/>
    <w:rsid w:val="00D93D7A"/>
    <w:rsid w:val="00DE0E30"/>
    <w:rsid w:val="00DF7DE1"/>
    <w:rsid w:val="00E01684"/>
    <w:rsid w:val="00E30266"/>
    <w:rsid w:val="00E84B44"/>
    <w:rsid w:val="00E8554B"/>
    <w:rsid w:val="00EB035D"/>
    <w:rsid w:val="00EF27D2"/>
    <w:rsid w:val="00EF538D"/>
    <w:rsid w:val="00F0114B"/>
    <w:rsid w:val="00F128FE"/>
    <w:rsid w:val="00F30D5E"/>
    <w:rsid w:val="00F509B5"/>
    <w:rsid w:val="00FA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7E629"/>
  <w15:chartTrackingRefBased/>
  <w15:docId w15:val="{F64E6369-12B6-433F-9E57-5743BAE8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43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30C"/>
  </w:style>
  <w:style w:type="paragraph" w:styleId="Stopka">
    <w:name w:val="footer"/>
    <w:basedOn w:val="Normalny"/>
    <w:link w:val="StopkaZnak"/>
    <w:uiPriority w:val="99"/>
    <w:unhideWhenUsed/>
    <w:rsid w:val="007C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30C"/>
  </w:style>
  <w:style w:type="character" w:styleId="Hipercze">
    <w:name w:val="Hyperlink"/>
    <w:uiPriority w:val="99"/>
    <w:unhideWhenUsed/>
    <w:rsid w:val="007C430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1D5A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A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5A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A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5A11"/>
    <w:rPr>
      <w:b/>
      <w:bCs/>
      <w:lang w:eastAsia="en-US"/>
    </w:rPr>
  </w:style>
  <w:style w:type="paragraph" w:styleId="Poprawka">
    <w:name w:val="Revision"/>
    <w:hidden/>
    <w:uiPriority w:val="99"/>
    <w:semiHidden/>
    <w:rsid w:val="00534301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A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AE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AE6"/>
    <w:rPr>
      <w:vertAlign w:val="superscript"/>
    </w:rPr>
  </w:style>
  <w:style w:type="character" w:styleId="Uwydatnienie">
    <w:name w:val="Emphasis"/>
    <w:uiPriority w:val="20"/>
    <w:qFormat/>
    <w:rsid w:val="00285523"/>
    <w:rPr>
      <w:i/>
      <w:iCs/>
    </w:rPr>
  </w:style>
  <w:style w:type="character" w:styleId="Pogrubienie">
    <w:name w:val="Strong"/>
    <w:basedOn w:val="Domylnaczcionkaakapitu"/>
    <w:uiPriority w:val="22"/>
    <w:qFormat/>
    <w:rsid w:val="00856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artosz.sosnowka@dwapiar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ktoring.bnpparibas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4244</CharactersWithSpaces>
  <SharedDoc>false</SharedDoc>
  <HLinks>
    <vt:vector size="12" baseType="variant"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  <vt:variant>
        <vt:i4>8257658</vt:i4>
      </vt:variant>
      <vt:variant>
        <vt:i4>0</vt:i4>
      </vt:variant>
      <vt:variant>
        <vt:i4>0</vt:i4>
      </vt:variant>
      <vt:variant>
        <vt:i4>5</vt:i4>
      </vt:variant>
      <vt:variant>
        <vt:lpwstr>http://www.faktoring.bnpparibas.pl/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Sosnek</dc:creator>
  <cp:keywords/>
  <cp:lastModifiedBy>Bart Sosnek</cp:lastModifiedBy>
  <cp:revision>4</cp:revision>
  <dcterms:created xsi:type="dcterms:W3CDTF">2023-07-28T11:42:00Z</dcterms:created>
  <dcterms:modified xsi:type="dcterms:W3CDTF">2023-07-28T11:47:00Z</dcterms:modified>
</cp:coreProperties>
</file>